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2AEC64A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6D6071B9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50CAEF70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  <w:r w:rsidR="004564B5">
        <w:rPr>
          <w:rFonts w:ascii="Calibri" w:hAnsi="Calibri" w:cs="Calibri"/>
          <w:sz w:val="22"/>
          <w:szCs w:val="22"/>
        </w:rPr>
        <w:t xml:space="preserve"> </w:t>
      </w:r>
    </w:p>
    <w:p w14:paraId="400D54C5" w14:textId="54D0293D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  <w:r w:rsidR="004564B5">
        <w:rPr>
          <w:rFonts w:ascii="Calibri" w:hAnsi="Calibri" w:cs="Calibri"/>
          <w:sz w:val="22"/>
          <w:szCs w:val="22"/>
        </w:rPr>
        <w:t xml:space="preserve"> </w:t>
      </w:r>
    </w:p>
    <w:p w14:paraId="108BE4AA" w14:textId="0429DB56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Název projektu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34159099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  <w:r w:rsidR="004564B5">
        <w:rPr>
          <w:rFonts w:ascii="Calibri" w:hAnsi="Calibri" w:cs="Calibri"/>
          <w:sz w:val="22"/>
          <w:szCs w:val="22"/>
        </w:rPr>
        <w:t xml:space="preserve"> 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0383D8F5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="00756946">
        <w:rPr>
          <w:rFonts w:ascii="Calibri" w:hAnsi="Calibri" w:cs="Calibri"/>
          <w:sz w:val="22"/>
          <w:szCs w:val="22"/>
        </w:rPr>
        <w:t>Montáže a servis elektro, energetická zařízení</w:t>
      </w:r>
      <w:r w:rsidRPr="009D4239">
        <w:rPr>
          <w:rFonts w:ascii="Calibri" w:hAnsi="Calibri" w:cs="Calibri"/>
          <w:sz w:val="22"/>
          <w:szCs w:val="22"/>
        </w:rPr>
        <w:t xml:space="preserve">, </w:t>
      </w:r>
      <w:r w:rsidR="00756946">
        <w:rPr>
          <w:rFonts w:ascii="Calibri" w:hAnsi="Calibri" w:cs="Calibri"/>
          <w:sz w:val="22"/>
          <w:szCs w:val="22"/>
        </w:rPr>
        <w:t>elektrotechnické práce a služby</w:t>
      </w:r>
      <w:r w:rsidRPr="009D4239">
        <w:rPr>
          <w:rFonts w:ascii="Calibri" w:hAnsi="Calibri" w:cs="Calibri"/>
          <w:sz w:val="22"/>
          <w:szCs w:val="22"/>
        </w:rPr>
        <w:t>,</w:t>
      </w:r>
    </w:p>
    <w:p w14:paraId="2C2C80A1" w14:textId="10027A6E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="00756946">
        <w:rPr>
          <w:rFonts w:ascii="Calibri" w:hAnsi="Calibri" w:cs="Calibri"/>
          <w:sz w:val="22"/>
          <w:szCs w:val="22"/>
        </w:rPr>
        <w:t>1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4A1F99B7" w:rsidR="001E2583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>technologií</w:t>
      </w:r>
    </w:p>
    <w:p w14:paraId="11EF18D6" w14:textId="77777777" w:rsidR="00B13FAD" w:rsidRDefault="004D11D3" w:rsidP="00B13FA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Pořízení</w:t>
      </w:r>
      <w:r w:rsidR="00B13FAD">
        <w:rPr>
          <w:rFonts w:ascii="Calibri" w:hAnsi="Calibri" w:cs="Calibri"/>
          <w:bCs/>
          <w:sz w:val="22"/>
          <w:szCs w:val="22"/>
        </w:rPr>
        <w:t xml:space="preserve"> cloudového uložiště a</w:t>
      </w:r>
      <w:r>
        <w:rPr>
          <w:rFonts w:ascii="Calibri" w:hAnsi="Calibri" w:cs="Calibri"/>
          <w:bCs/>
          <w:sz w:val="22"/>
          <w:szCs w:val="22"/>
        </w:rPr>
        <w:t xml:space="preserve"> dronu s přesným letem </w:t>
      </w:r>
      <w:r w:rsidR="00B13FAD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termokamerou.</w:t>
      </w:r>
      <w:r w:rsidR="00B13FAD">
        <w:rPr>
          <w:rFonts w:ascii="Calibri" w:hAnsi="Calibri" w:cs="Calibri"/>
          <w:bCs/>
          <w:sz w:val="22"/>
          <w:szCs w:val="22"/>
        </w:rPr>
        <w:t xml:space="preserve"> Zpracovaná data budou uložena a dále zpracovávána digitálně na počítači s příslušným softwarem a ukládána na cloudovém uložišti pro externí přístup. </w:t>
      </w:r>
    </w:p>
    <w:p w14:paraId="1C9883F7" w14:textId="77777777" w:rsidR="00B13FAD" w:rsidRPr="004D11D3" w:rsidRDefault="00B13FAD" w:rsidP="00B13FAD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 cloud budou dále ukládány výkazy práce a další digitální soubory, dostupné i pro externí přístupy nebo přístupy na dálku. </w:t>
      </w:r>
    </w:p>
    <w:p w14:paraId="0C29AB79" w14:textId="278A7001" w:rsidR="004D11D3" w:rsidRDefault="004D11D3" w:rsidP="00756946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Dron slouží k prvotnímu zaměřování ploch bez fyzické účasti (např. vystoupání na střechu a fyzické měření) a dále k finální kontrole s pomocí kamery a termokamery tak, aby nemuselo být fyzicky řešeno osobami ve výškách.</w:t>
      </w:r>
    </w:p>
    <w:p w14:paraId="0E47AC1A" w14:textId="77777777" w:rsidR="004D11D3" w:rsidRDefault="004D11D3" w:rsidP="00756946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Zpracovaná data budou uložena a dále zpracovávána digitálně na počítači s příslušným softwarem a ukládána na cloudovém uložišti pro externí přístup. </w:t>
      </w:r>
    </w:p>
    <w:p w14:paraId="1ECEE263" w14:textId="5AFDF5B1" w:rsidR="00756946" w:rsidRPr="004D11D3" w:rsidRDefault="004D11D3" w:rsidP="00756946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 cloud budou dále ukládány výkazy práce a další digitální soubory, dostupné i pro externí přístupy nebo přístupy na dálku</w:t>
      </w:r>
      <w:r w:rsidR="00B13FAD">
        <w:rPr>
          <w:rFonts w:ascii="Calibri" w:hAnsi="Calibri" w:cs="Calibri"/>
          <w:bCs/>
          <w:sz w:val="22"/>
          <w:szCs w:val="22"/>
        </w:rPr>
        <w:t xml:space="preserve"> bez fyzické účasti nebo papírování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64CD5016" w14:textId="77777777" w:rsidR="00756946" w:rsidRPr="007143F6" w:rsidRDefault="00756946" w:rsidP="00756946">
      <w:pPr>
        <w:pStyle w:val="Odstavecseseznamem"/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6E5FAA69" w:rsidR="00B13FAD" w:rsidRDefault="00B13FAD" w:rsidP="00B13FAD">
      <w:pPr>
        <w:overflowPunct/>
        <w:autoSpaceDE/>
        <w:autoSpaceDN/>
        <w:adjustRightInd/>
        <w:spacing w:line="276" w:lineRule="auto"/>
        <w:ind w:left="1416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Pořízení cloudového uložiště s webovým rozhraním pro vytváření a správu nabídek, výkazů práce a ukládání zpracovaných dat. Slouží pro digitalizaci papírových procesů a ulehčení stávající a budoucí administrativy – vytváření dokladů, vedení zakázek a výkazů práce pro jednotlivé zakázky.</w:t>
      </w:r>
    </w:p>
    <w:p w14:paraId="5625641E" w14:textId="729949B2" w:rsidR="00B13FAD" w:rsidRDefault="00B13FAD" w:rsidP="00B13FAD">
      <w:pPr>
        <w:overflowPunct/>
        <w:autoSpaceDE/>
        <w:autoSpaceDN/>
        <w:adjustRightInd/>
        <w:spacing w:line="276" w:lineRule="auto"/>
        <w:ind w:left="1416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Pořízením technologického dronu dojde k digitalizaci odpadne ruční zakreslení pomocí metru, pásem a případně laserových měřidel s fyzickou účastí. Ale dojde k digitalizaci a automatizaci tohoto procesu služby. </w:t>
      </w:r>
    </w:p>
    <w:p w14:paraId="7608FE4B" w14:textId="77777777" w:rsidR="00B13FAD" w:rsidRDefault="00B13FAD" w:rsidP="00B13FAD">
      <w:pPr>
        <w:overflowPunct/>
        <w:autoSpaceDE/>
        <w:autoSpaceDN/>
        <w:adjustRightInd/>
        <w:spacing w:line="276" w:lineRule="auto"/>
        <w:ind w:left="1416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5BC6C498" w14:textId="77777777" w:rsidR="00B13FAD" w:rsidRPr="00B13FAD" w:rsidRDefault="00B13FAD" w:rsidP="00B13FAD">
      <w:pPr>
        <w:overflowPunct/>
        <w:autoSpaceDE/>
        <w:autoSpaceDN/>
        <w:adjustRightInd/>
        <w:spacing w:line="276" w:lineRule="auto"/>
        <w:ind w:left="1416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18FB11AB" w14:textId="18C756D7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lastRenderedPageBreak/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</w:t>
      </w:r>
      <w:r w:rsidRPr="00C57E4D">
        <w:rPr>
          <w:rFonts w:ascii="Calibri" w:hAnsi="Calibri" w:cs="Calibri"/>
          <w:b/>
          <w:sz w:val="22"/>
          <w:szCs w:val="22"/>
        </w:rPr>
        <w:t>digitalizace</w:t>
      </w:r>
      <w:r w:rsidRPr="003A1051">
        <w:rPr>
          <w:rFonts w:ascii="Calibri" w:hAnsi="Calibri" w:cs="Calibri"/>
          <w:bCs/>
          <w:sz w:val="22"/>
          <w:szCs w:val="22"/>
        </w:rPr>
        <w:t xml:space="preserve">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C57E4D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</w:t>
      </w:r>
      <w:r w:rsidRPr="00C57E4D">
        <w:rPr>
          <w:rFonts w:ascii="Calibri" w:hAnsi="Calibri" w:cs="Calibri"/>
          <w:b/>
          <w:sz w:val="22"/>
          <w:szCs w:val="22"/>
        </w:rPr>
        <w:t>nezbytné výpočetní techniky</w:t>
      </w:r>
      <w:r w:rsidR="00AE7CEF" w:rsidRPr="00C57E4D">
        <w:rPr>
          <w:rFonts w:ascii="Calibri" w:hAnsi="Calibri" w:cs="Calibri"/>
          <w:b/>
          <w:sz w:val="22"/>
          <w:szCs w:val="22"/>
        </w:rPr>
        <w:t>.</w:t>
      </w:r>
    </w:p>
    <w:p w14:paraId="030F8E36" w14:textId="2F40DA6E" w:rsidR="00292117" w:rsidRDefault="00292117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4787F5C8" w14:textId="36C4BCFD" w:rsidR="00C57E4D" w:rsidRDefault="00C57E4D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Digitalizací a automatizací výkazů práce dojde k ulehčení administrativy – díky dálkovým přístupům a automatizování výkazů k jednotlivým projektům. Dále lze díky výkazům zjednodušit fakturaci a další věci. </w:t>
      </w:r>
    </w:p>
    <w:p w14:paraId="056ED15A" w14:textId="7904ECF5" w:rsidR="00C57E4D" w:rsidRPr="00C57E4D" w:rsidRDefault="00C57E4D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Pořízením nezbytné techniky – dronu a příslušného softwaru dojde ke zjednodušení fyzických činností ihned do digitální podoby pro další zpracování – nahrazení procesů, které byly zdlouhavě a mnohdy nepřesně řešené klasickými způsoby. </w:t>
      </w:r>
    </w:p>
    <w:p w14:paraId="276F5859" w14:textId="77777777" w:rsidR="00C57E4D" w:rsidRPr="003A1051" w:rsidRDefault="00C57E4D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344B0EC3" w:rsidR="007434C0" w:rsidRPr="00C57E4D" w:rsidRDefault="00C57E4D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Zamezení papírovým a ručně zpracovávaným výkazům, automatizace některých procesů i na dálku</w:t>
      </w:r>
    </w:p>
    <w:p w14:paraId="519485B3" w14:textId="65B7933F" w:rsidR="007434C0" w:rsidRPr="00CB2F4D" w:rsidRDefault="00C57E4D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Cloud bude sloužit k ukládání dat z dalších HW vybavení – dron pro digitalizaci a dalšímu využívání dat online pro další zpracování a návrhům</w:t>
      </w:r>
    </w:p>
    <w:p w14:paraId="0FCE46DA" w14:textId="623BE440" w:rsidR="007434C0" w:rsidRPr="003A1051" w:rsidRDefault="007434C0" w:rsidP="00C57E4D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6CA1A3FB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C57E4D">
        <w:rPr>
          <w:rFonts w:asciiTheme="minorHAnsi" w:hAnsiTheme="minorHAnsi" w:cstheme="minorBidi"/>
          <w:sz w:val="22"/>
          <w:szCs w:val="22"/>
        </w:rPr>
        <w:t xml:space="preserve">cca </w:t>
      </w:r>
      <w:proofErr w:type="gramStart"/>
      <w:r w:rsidR="00C57E4D">
        <w:rPr>
          <w:rFonts w:asciiTheme="minorHAnsi" w:hAnsiTheme="minorHAnsi" w:cstheme="minorBidi"/>
          <w:sz w:val="22"/>
          <w:szCs w:val="22"/>
        </w:rPr>
        <w:t>300..</w:t>
      </w:r>
      <w:proofErr w:type="gramEnd"/>
      <w:r w:rsidR="00C57E4D">
        <w:rPr>
          <w:rFonts w:asciiTheme="minorHAnsi" w:hAnsiTheme="minorHAnsi" w:cstheme="minorBidi"/>
          <w:sz w:val="22"/>
          <w:szCs w:val="22"/>
        </w:rPr>
        <w:t>000,- Kč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</w:t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1E98F01E" w:rsidR="00B970FB" w:rsidRPr="00B74AA5" w:rsidRDefault="00C57E4D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</w:t>
            </w:r>
            <w:r>
              <w:rPr>
                <w:rStyle w:val="normaltextrun"/>
              </w:rPr>
              <w:t>HM</w:t>
            </w:r>
          </w:p>
        </w:tc>
        <w:tc>
          <w:tcPr>
            <w:tcW w:w="4583" w:type="dxa"/>
            <w:shd w:val="clear" w:color="auto" w:fill="auto"/>
          </w:tcPr>
          <w:p w14:paraId="7FFE8F44" w14:textId="3D46BFBE" w:rsidR="00B970FB" w:rsidRPr="00B74AA5" w:rsidRDefault="00C57E4D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</w:t>
            </w:r>
            <w:r>
              <w:rPr>
                <w:rStyle w:val="normaltextrun"/>
              </w:rPr>
              <w:t xml:space="preserve">ron </w:t>
            </w:r>
            <w:proofErr w:type="spellStart"/>
            <w:r>
              <w:rPr>
                <w:rStyle w:val="normaltextrun"/>
              </w:rPr>
              <w:t>mavic</w:t>
            </w:r>
            <w:proofErr w:type="spellEnd"/>
            <w:r w:rsidR="00B25F99">
              <w:rPr>
                <w:rStyle w:val="normaltextrun"/>
              </w:rPr>
              <w:t xml:space="preserve"> + technika</w:t>
            </w:r>
          </w:p>
        </w:tc>
        <w:tc>
          <w:tcPr>
            <w:tcW w:w="1701" w:type="dxa"/>
            <w:shd w:val="clear" w:color="auto" w:fill="auto"/>
          </w:tcPr>
          <w:p w14:paraId="63CB31D7" w14:textId="622388DE" w:rsidR="00B970FB" w:rsidRPr="00B74AA5" w:rsidRDefault="00B25F99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200000</w:t>
            </w: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3E3B52B5" w:rsidR="00B970FB" w:rsidRPr="00B74AA5" w:rsidRDefault="00B25F99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DNM</w:t>
            </w:r>
          </w:p>
        </w:tc>
        <w:tc>
          <w:tcPr>
            <w:tcW w:w="4583" w:type="dxa"/>
            <w:shd w:val="clear" w:color="auto" w:fill="auto"/>
          </w:tcPr>
          <w:p w14:paraId="59C7C1F0" w14:textId="59C3A77A" w:rsidR="00B970FB" w:rsidRPr="00B74AA5" w:rsidRDefault="00B25F99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Software</w:t>
            </w:r>
          </w:p>
        </w:tc>
        <w:tc>
          <w:tcPr>
            <w:tcW w:w="1701" w:type="dxa"/>
            <w:shd w:val="clear" w:color="auto" w:fill="auto"/>
          </w:tcPr>
          <w:p w14:paraId="5F6806C0" w14:textId="79AB9618" w:rsidR="00B970FB" w:rsidRPr="00B74AA5" w:rsidRDefault="00B25F99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90000</w:t>
            </w: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5F99" w14:paraId="249FC59B" w14:textId="77777777" w:rsidTr="00A94B84">
        <w:tc>
          <w:tcPr>
            <w:tcW w:w="2221" w:type="dxa"/>
            <w:shd w:val="clear" w:color="auto" w:fill="auto"/>
          </w:tcPr>
          <w:p w14:paraId="294EBCA7" w14:textId="62F9ADAD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SLU</w:t>
            </w:r>
          </w:p>
        </w:tc>
        <w:tc>
          <w:tcPr>
            <w:tcW w:w="4583" w:type="dxa"/>
            <w:shd w:val="clear" w:color="auto" w:fill="auto"/>
          </w:tcPr>
          <w:p w14:paraId="4CA8132E" w14:textId="1754B34B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Cloud - S</w:t>
            </w:r>
            <w:r>
              <w:rPr>
                <w:rStyle w:val="normaltextrun"/>
              </w:rPr>
              <w:t>w</w:t>
            </w:r>
            <w:proofErr w:type="gramEnd"/>
            <w:r>
              <w:rPr>
                <w:rStyle w:val="normaltextrun"/>
              </w:rPr>
              <w:t xml:space="preserve"> s uložištěm</w:t>
            </w:r>
          </w:p>
        </w:tc>
        <w:tc>
          <w:tcPr>
            <w:tcW w:w="1701" w:type="dxa"/>
            <w:shd w:val="clear" w:color="auto" w:fill="auto"/>
          </w:tcPr>
          <w:p w14:paraId="66F4B49C" w14:textId="4A85C3C0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?</w:t>
            </w:r>
            <w:r>
              <w:rPr>
                <w:rStyle w:val="normaltextrun"/>
              </w:rPr>
              <w:t xml:space="preserve"> </w:t>
            </w:r>
            <w:proofErr w:type="spellStart"/>
            <w:r>
              <w:rPr>
                <w:rStyle w:val="normaltextrun"/>
              </w:rPr>
              <w:t>měšíční</w:t>
            </w:r>
            <w:proofErr w:type="spellEnd"/>
            <w:r>
              <w:rPr>
                <w:rStyle w:val="normaltextrun"/>
              </w:rPr>
              <w:t xml:space="preserve"> platby</w:t>
            </w:r>
          </w:p>
        </w:tc>
        <w:tc>
          <w:tcPr>
            <w:tcW w:w="1134" w:type="dxa"/>
            <w:shd w:val="clear" w:color="auto" w:fill="auto"/>
          </w:tcPr>
          <w:p w14:paraId="54C1A9E6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5F99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5F99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25F99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25F99" w:rsidRPr="00B74AA5" w:rsidRDefault="00B25F99" w:rsidP="00B25F99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206EFA20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  <w:r w:rsidR="00B25F99">
        <w:rPr>
          <w:rFonts w:ascii="Calibri" w:hAnsi="Calibri" w:cs="Calibri"/>
          <w:b/>
          <w:bCs/>
          <w:sz w:val="22"/>
          <w:szCs w:val="22"/>
        </w:rPr>
        <w:t>Horní Maršov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68E3" w14:textId="77777777" w:rsidR="00234FC9" w:rsidRDefault="00234FC9" w:rsidP="00677FE0">
      <w:r>
        <w:separator/>
      </w:r>
    </w:p>
  </w:endnote>
  <w:endnote w:type="continuationSeparator" w:id="0">
    <w:p w14:paraId="2953A48E" w14:textId="77777777" w:rsidR="00234FC9" w:rsidRDefault="00234FC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A0FFD" w14:textId="77777777" w:rsidR="00234FC9" w:rsidRDefault="00234FC9" w:rsidP="00677FE0">
      <w:r>
        <w:separator/>
      </w:r>
    </w:p>
  </w:footnote>
  <w:footnote w:type="continuationSeparator" w:id="0">
    <w:p w14:paraId="3495F845" w14:textId="77777777" w:rsidR="00234FC9" w:rsidRDefault="00234FC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34FC9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2F4B89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564B5"/>
    <w:rsid w:val="00486FB9"/>
    <w:rsid w:val="004C212A"/>
    <w:rsid w:val="004C35A3"/>
    <w:rsid w:val="004D11D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473AB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1AAA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56946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2201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3FAD"/>
    <w:rsid w:val="00B1477A"/>
    <w:rsid w:val="00B20993"/>
    <w:rsid w:val="00B25F99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57E4D"/>
    <w:rsid w:val="00C6690E"/>
    <w:rsid w:val="00C703C5"/>
    <w:rsid w:val="00C805F2"/>
    <w:rsid w:val="00C96EFE"/>
    <w:rsid w:val="00CA08D2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14D1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Kateřina Fejglová</cp:lastModifiedBy>
  <cp:revision>2</cp:revision>
  <cp:lastPrinted>2023-03-30T13:34:00Z</cp:lastPrinted>
  <dcterms:created xsi:type="dcterms:W3CDTF">2024-11-08T12:20:00Z</dcterms:created>
  <dcterms:modified xsi:type="dcterms:W3CDTF">2024-11-08T12:20:00Z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